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E" w:rsidRDefault="001D67AE">
      <w:pPr>
        <w:pStyle w:val="Balk1"/>
        <w:spacing w:before="78" w:line="240" w:lineRule="auto"/>
        <w:ind w:left="3048" w:right="3794" w:firstLine="1456"/>
      </w:pPr>
      <w:r>
        <w:t xml:space="preserve">T.C. </w:t>
      </w:r>
      <w:bookmarkStart w:id="0" w:name="_GoBack"/>
      <w:bookmarkEnd w:id="0"/>
      <w:r>
        <w:t>KASTAMONU ÜNİVERSİTESİ</w:t>
      </w:r>
    </w:p>
    <w:p w:rsidR="006D138A" w:rsidRDefault="006D138A">
      <w:pPr>
        <w:ind w:left="2119" w:right="2823"/>
        <w:jc w:val="center"/>
        <w:rPr>
          <w:b/>
          <w:sz w:val="24"/>
        </w:rPr>
      </w:pPr>
      <w:r>
        <w:rPr>
          <w:b/>
          <w:sz w:val="24"/>
        </w:rPr>
        <w:t>SPOR BİLİMLERİ FAKÜLTESİ</w:t>
      </w:r>
    </w:p>
    <w:p w:rsidR="002E7FEE" w:rsidRDefault="001D67AE">
      <w:pPr>
        <w:ind w:left="2119" w:right="2823"/>
        <w:jc w:val="center"/>
        <w:rPr>
          <w:b/>
          <w:sz w:val="24"/>
        </w:rPr>
      </w:pPr>
      <w:r>
        <w:rPr>
          <w:b/>
          <w:sz w:val="24"/>
        </w:rPr>
        <w:t xml:space="preserve"> SPOR YÖNETİCİLİĞİ BÖLÜMÜ</w:t>
      </w:r>
    </w:p>
    <w:p w:rsidR="002E7FEE" w:rsidRDefault="001D67AE">
      <w:pPr>
        <w:spacing w:before="1"/>
        <w:ind w:left="2119" w:right="2876"/>
        <w:jc w:val="center"/>
        <w:rPr>
          <w:b/>
          <w:sz w:val="24"/>
        </w:rPr>
      </w:pPr>
      <w:r>
        <w:rPr>
          <w:b/>
          <w:sz w:val="24"/>
        </w:rPr>
        <w:t>SPOR YÖNETİMİ UYGULAMASI YÖNERGESİ</w:t>
      </w:r>
    </w:p>
    <w:p w:rsidR="002E7FEE" w:rsidRDefault="002E7FEE">
      <w:pPr>
        <w:pStyle w:val="GvdeMetni"/>
        <w:spacing w:before="11"/>
        <w:ind w:left="0" w:firstLine="0"/>
        <w:jc w:val="left"/>
        <w:rPr>
          <w:b/>
          <w:sz w:val="23"/>
        </w:rPr>
      </w:pPr>
    </w:p>
    <w:p w:rsidR="002E7FEE" w:rsidRDefault="001D67AE">
      <w:pPr>
        <w:spacing w:line="274" w:lineRule="exact"/>
        <w:ind w:left="904"/>
        <w:rPr>
          <w:b/>
          <w:sz w:val="24"/>
        </w:rPr>
      </w:pPr>
      <w:r>
        <w:rPr>
          <w:b/>
          <w:sz w:val="24"/>
        </w:rPr>
        <w:t>Amaç</w:t>
      </w:r>
    </w:p>
    <w:p w:rsidR="002E7FEE" w:rsidRDefault="001D67AE">
      <w:pPr>
        <w:pStyle w:val="GvdeMetni"/>
        <w:ind w:right="955"/>
      </w:pPr>
      <w:r>
        <w:rPr>
          <w:b/>
        </w:rPr>
        <w:t xml:space="preserve">Madde 1- </w:t>
      </w:r>
      <w:r>
        <w:t>(1) Bu yönergenin amacı; spor yöneticisi adaylarının eğitim-öğretim programlarında yer alan konuları uygulama içinde görmeleri, yöneticilikle ilgili kazanmış oldukları bilgi, beceri, tutum ve alışkanlıklarını gerçek iş ortamı içinde uygulayabilmeleri ve me</w:t>
      </w:r>
      <w:r>
        <w:t>zuniyet sonrası çalışma hayatına kısa sürede uyum sağlayabilmeleri için öğrenciyi deneyim sahibi yapacak çalışmalara ilişkin kuralları düzenlemektir.</w:t>
      </w:r>
    </w:p>
    <w:p w:rsidR="002E7FEE" w:rsidRDefault="001D67AE">
      <w:pPr>
        <w:pStyle w:val="Balk1"/>
      </w:pPr>
      <w:r>
        <w:t>Kapsam</w:t>
      </w:r>
    </w:p>
    <w:p w:rsidR="002E7FEE" w:rsidRDefault="001D67AE">
      <w:pPr>
        <w:pStyle w:val="GvdeMetni"/>
        <w:tabs>
          <w:tab w:val="left" w:pos="6769"/>
        </w:tabs>
        <w:ind w:right="959"/>
        <w:jc w:val="left"/>
      </w:pPr>
      <w:r>
        <w:rPr>
          <w:b/>
        </w:rPr>
        <w:t xml:space="preserve">Madde   2-   </w:t>
      </w:r>
      <w:r>
        <w:t>(1)   Bu   yönerge;</w:t>
      </w:r>
      <w:r>
        <w:rPr>
          <w:spacing w:val="22"/>
        </w:rPr>
        <w:t xml:space="preserve"> </w:t>
      </w:r>
      <w:r>
        <w:t xml:space="preserve">Kastamonu </w:t>
      </w:r>
      <w:r>
        <w:rPr>
          <w:spacing w:val="40"/>
        </w:rPr>
        <w:t xml:space="preserve"> </w:t>
      </w:r>
      <w:r w:rsidR="006D138A">
        <w:t xml:space="preserve">Üniversitesi, Spor Bilimleri Fakültesi, </w:t>
      </w:r>
      <w:r>
        <w:t>Spor Yön</w:t>
      </w:r>
      <w:r>
        <w:t>eticiliği Bölümü öğrencilerini</w:t>
      </w:r>
      <w:r>
        <w:rPr>
          <w:spacing w:val="-2"/>
        </w:rPr>
        <w:t xml:space="preserve"> </w:t>
      </w:r>
      <w:r>
        <w:t>kapsar.</w:t>
      </w:r>
    </w:p>
    <w:p w:rsidR="002E7FEE" w:rsidRDefault="001D67AE">
      <w:pPr>
        <w:pStyle w:val="Balk1"/>
        <w:spacing w:before="3"/>
      </w:pPr>
      <w:r>
        <w:t>Dayanak</w:t>
      </w:r>
    </w:p>
    <w:p w:rsidR="002E7FEE" w:rsidRDefault="001D67AE">
      <w:pPr>
        <w:spacing w:line="274" w:lineRule="exact"/>
        <w:ind w:left="904"/>
        <w:rPr>
          <w:sz w:val="24"/>
        </w:rPr>
      </w:pPr>
      <w:r>
        <w:rPr>
          <w:b/>
          <w:sz w:val="24"/>
        </w:rPr>
        <w:t xml:space="preserve">Madde 3- </w:t>
      </w:r>
      <w:r>
        <w:rPr>
          <w:sz w:val="24"/>
        </w:rPr>
        <w:t>(1) Bu Yönerge;</w:t>
      </w:r>
    </w:p>
    <w:p w:rsidR="002E7FEE" w:rsidRDefault="001D67AE">
      <w:pPr>
        <w:pStyle w:val="ListeParagraf"/>
        <w:numPr>
          <w:ilvl w:val="0"/>
          <w:numId w:val="2"/>
        </w:numPr>
        <w:tabs>
          <w:tab w:val="left" w:pos="1265"/>
        </w:tabs>
        <w:ind w:hanging="361"/>
        <w:rPr>
          <w:sz w:val="24"/>
        </w:rPr>
      </w:pPr>
      <w:r>
        <w:rPr>
          <w:sz w:val="24"/>
        </w:rPr>
        <w:t>2547 Sayılı Yükseköğretim kanununun ilgili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hükümleri,</w:t>
      </w:r>
    </w:p>
    <w:p w:rsidR="002E7FEE" w:rsidRDefault="001D67AE">
      <w:pPr>
        <w:pStyle w:val="ListeParagraf"/>
        <w:numPr>
          <w:ilvl w:val="0"/>
          <w:numId w:val="2"/>
        </w:numPr>
        <w:tabs>
          <w:tab w:val="left" w:pos="1265"/>
        </w:tabs>
        <w:ind w:left="904" w:right="1028" w:firstLine="0"/>
        <w:rPr>
          <w:sz w:val="24"/>
        </w:rPr>
      </w:pPr>
      <w:r>
        <w:rPr>
          <w:sz w:val="24"/>
        </w:rPr>
        <w:t>Kastamonu Üniversitesi Önlisans ve Lisans Eğitim-Öğretim ve Sınav Yönetmeliği Hükümlerine göre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2E7FEE" w:rsidRDefault="001D67AE">
      <w:pPr>
        <w:pStyle w:val="Balk1"/>
        <w:spacing w:before="5"/>
      </w:pPr>
      <w:r>
        <w:t>Tanımlar</w:t>
      </w:r>
    </w:p>
    <w:p w:rsidR="002E7FEE" w:rsidRDefault="001D67AE">
      <w:pPr>
        <w:pStyle w:val="GvdeMetni"/>
        <w:spacing w:line="274" w:lineRule="exact"/>
        <w:ind w:left="904" w:firstLine="0"/>
        <w:jc w:val="left"/>
      </w:pPr>
      <w:r>
        <w:rPr>
          <w:b/>
        </w:rPr>
        <w:t xml:space="preserve">Madde 4 – </w:t>
      </w:r>
      <w:r>
        <w:t>(1) Bu Yönergede geçen deyimler ve tanımlar aşağıda belirtilmiştir.</w:t>
      </w:r>
    </w:p>
    <w:p w:rsidR="002E7FEE" w:rsidRDefault="002E7FEE">
      <w:pPr>
        <w:pStyle w:val="GvdeMetni"/>
        <w:spacing w:before="11"/>
        <w:ind w:left="0" w:firstLine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28"/>
        <w:gridCol w:w="5691"/>
      </w:tblGrid>
      <w:tr w:rsidR="002E7FEE">
        <w:trPr>
          <w:trHeight w:val="249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30"/>
              </w:tabs>
              <w:spacing w:line="229" w:lineRule="exact"/>
              <w:ind w:left="200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Üniversite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  <w:spacing w:line="229" w:lineRule="exact"/>
            </w:pPr>
            <w:r>
              <w:t>Kastamonu Üniversitesini,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30"/>
              </w:tabs>
              <w:ind w:left="200"/>
            </w:pPr>
            <w:r>
              <w:t>b) Senato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</w:pPr>
            <w:r>
              <w:t>Kastamonu Üniversitesi Senatosunu,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 w:rsidP="006D138A">
            <w:pPr>
              <w:pStyle w:val="TableParagraph"/>
              <w:tabs>
                <w:tab w:val="left" w:pos="4030"/>
              </w:tabs>
              <w:ind w:left="200"/>
            </w:pPr>
            <w:r>
              <w:t>c)</w:t>
            </w:r>
            <w:r>
              <w:rPr>
                <w:spacing w:val="-2"/>
              </w:rPr>
              <w:t xml:space="preserve"> </w:t>
            </w:r>
            <w:r w:rsidR="006D138A">
              <w:t>Fakülte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6D138A">
            <w:pPr>
              <w:pStyle w:val="TableParagraph"/>
            </w:pPr>
            <w:r>
              <w:t>Spor Bilimleri Fakültesi</w:t>
            </w:r>
            <w:r>
              <w:t>ni</w:t>
            </w:r>
            <w:r w:rsidR="001D67AE">
              <w:t>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 w:rsidP="006D138A">
            <w:pPr>
              <w:pStyle w:val="TableParagraph"/>
              <w:tabs>
                <w:tab w:val="left" w:pos="4030"/>
              </w:tabs>
              <w:ind w:left="200"/>
            </w:pPr>
            <w:r>
              <w:t>d)</w:t>
            </w:r>
            <w:r>
              <w:rPr>
                <w:spacing w:val="-1"/>
              </w:rPr>
              <w:t xml:space="preserve"> </w:t>
            </w:r>
            <w:r w:rsidR="006D138A">
              <w:t>Dekanlık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6D138A">
            <w:pPr>
              <w:pStyle w:val="TableParagraph"/>
            </w:pPr>
            <w:r>
              <w:t>Spor Bilimleri Fakültesi</w:t>
            </w:r>
            <w:r>
              <w:t xml:space="preserve"> Dekanlığını</w:t>
            </w:r>
            <w:r w:rsidR="001D67AE">
              <w:t>,</w:t>
            </w:r>
          </w:p>
        </w:tc>
      </w:tr>
      <w:tr w:rsidR="002E7FEE">
        <w:trPr>
          <w:trHeight w:val="252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30"/>
              </w:tabs>
              <w:spacing w:line="232" w:lineRule="exact"/>
              <w:ind w:left="200"/>
            </w:pPr>
            <w:r>
              <w:t>e)</w:t>
            </w:r>
            <w:r>
              <w:rPr>
                <w:spacing w:val="-2"/>
              </w:rPr>
              <w:t xml:space="preserve"> </w:t>
            </w:r>
            <w:r>
              <w:t>Kurul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6D138A">
            <w:pPr>
              <w:pStyle w:val="TableParagraph"/>
              <w:spacing w:line="232" w:lineRule="exact"/>
            </w:pPr>
            <w:r>
              <w:t>Spor Bilimleri F</w:t>
            </w:r>
            <w:r>
              <w:t xml:space="preserve">akülte </w:t>
            </w:r>
            <w:r w:rsidR="001D67AE">
              <w:t>Kurulunu,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86"/>
              </w:tabs>
              <w:ind w:left="200"/>
            </w:pPr>
            <w:r>
              <w:t>f)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6D138A">
            <w:pPr>
              <w:pStyle w:val="TableParagraph"/>
            </w:pPr>
            <w:r>
              <w:t>Spor Bilimleri Fakültesi</w:t>
            </w:r>
            <w:r>
              <w:t xml:space="preserve"> </w:t>
            </w:r>
            <w:r w:rsidR="001D67AE">
              <w:t>Yönetim Kurulunu,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141"/>
              </w:tabs>
              <w:ind w:left="200"/>
            </w:pPr>
            <w:r>
              <w:t>g)</w:t>
            </w:r>
            <w:r>
              <w:rPr>
                <w:spacing w:val="-1"/>
              </w:rPr>
              <w:t xml:space="preserve"> </w:t>
            </w:r>
            <w:r>
              <w:t>Bölüm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</w:pPr>
            <w:r>
              <w:t>Spor Yöneticiliği Bölümünü,</w:t>
            </w:r>
          </w:p>
        </w:tc>
      </w:tr>
      <w:tr w:rsidR="002E7FEE">
        <w:trPr>
          <w:trHeight w:val="253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86"/>
              </w:tabs>
              <w:ind w:left="200"/>
            </w:pPr>
            <w:r>
              <w:t>h)</w:t>
            </w:r>
            <w:r>
              <w:rPr>
                <w:spacing w:val="-1"/>
              </w:rPr>
              <w:t xml:space="preserve"> </w:t>
            </w:r>
            <w:r>
              <w:t>Başkanlık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</w:pPr>
            <w:r>
              <w:t>Spor Yöneticiliği Bölüm Başkanlığını,</w:t>
            </w:r>
          </w:p>
        </w:tc>
      </w:tr>
      <w:tr w:rsidR="002E7FEE">
        <w:trPr>
          <w:trHeight w:val="758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30"/>
              </w:tabs>
              <w:spacing w:line="249" w:lineRule="exact"/>
              <w:ind w:left="200"/>
            </w:pPr>
            <w:r>
              <w:t>ı)</w:t>
            </w:r>
            <w:r>
              <w:rPr>
                <w:spacing w:val="-2"/>
              </w:rPr>
              <w:t xml:space="preserve"> </w:t>
            </w:r>
            <w:r>
              <w:t>Yönerge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  <w:spacing w:line="252" w:lineRule="exact"/>
              <w:ind w:right="197"/>
              <w:jc w:val="both"/>
            </w:pPr>
            <w:r>
              <w:t>Kastamonu Üniversitesi</w:t>
            </w:r>
            <w:r w:rsidR="006D138A">
              <w:t>,</w:t>
            </w:r>
            <w:r>
              <w:t xml:space="preserve"> </w:t>
            </w:r>
            <w:r w:rsidR="006D138A">
              <w:t>Spor Bilimleri Fakültesi</w:t>
            </w:r>
            <w:r w:rsidR="006D138A">
              <w:t>,</w:t>
            </w:r>
            <w:r>
              <w:t xml:space="preserve"> Spor Yöneticiliği Bölümü Uygulama Yönergesini,</w:t>
            </w:r>
          </w:p>
        </w:tc>
      </w:tr>
      <w:tr w:rsidR="002E7FEE">
        <w:trPr>
          <w:trHeight w:val="759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86"/>
              </w:tabs>
              <w:spacing w:line="249" w:lineRule="exact"/>
              <w:ind w:left="200"/>
            </w:pPr>
            <w:r>
              <w:t>j)</w:t>
            </w:r>
            <w:r>
              <w:rPr>
                <w:spacing w:val="-2"/>
              </w:rPr>
              <w:t xml:space="preserve"> </w:t>
            </w:r>
            <w:r>
              <w:t>Resmi Kuruluş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  <w:spacing w:line="240" w:lineRule="auto"/>
              <w:ind w:right="198"/>
            </w:pPr>
            <w:r>
              <w:t>Gençlik ve Spor Genel Müdürlüğü Merkez ve Taşra teşkilatları ile Spor Federasyonları ve sporla ilgili birimleri</w:t>
            </w:r>
          </w:p>
          <w:p w:rsidR="002E7FEE" w:rsidRDefault="001D67AE">
            <w:pPr>
              <w:pStyle w:val="TableParagraph"/>
              <w:spacing w:line="237" w:lineRule="exact"/>
            </w:pPr>
            <w:r>
              <w:t>bulunan diğer kamu kuruluşlarını,</w:t>
            </w:r>
          </w:p>
        </w:tc>
      </w:tr>
      <w:tr w:rsidR="002E7FEE">
        <w:trPr>
          <w:trHeight w:val="505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4030"/>
              </w:tabs>
              <w:spacing w:line="248" w:lineRule="exact"/>
              <w:ind w:left="200"/>
            </w:pPr>
            <w:r>
              <w:t>k)</w:t>
            </w:r>
            <w:r>
              <w:rPr>
                <w:spacing w:val="-1"/>
              </w:rPr>
              <w:t xml:space="preserve"> </w:t>
            </w:r>
            <w:r>
              <w:t>Özel Kuruluş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  <w:spacing w:line="248" w:lineRule="exact"/>
            </w:pPr>
            <w:r>
              <w:t>Sporla ilgili faaliyetleri bulunan tüzel kişiliğe haiz tüm özel</w:t>
            </w:r>
          </w:p>
          <w:p w:rsidR="002E7FEE" w:rsidRDefault="001D67AE">
            <w:pPr>
              <w:pStyle w:val="TableParagraph"/>
              <w:spacing w:line="238" w:lineRule="exact"/>
            </w:pPr>
            <w:r>
              <w:t>kuruluşları,</w:t>
            </w:r>
          </w:p>
        </w:tc>
      </w:tr>
      <w:tr w:rsidR="002E7FEE">
        <w:trPr>
          <w:trHeight w:val="1013"/>
        </w:trPr>
        <w:tc>
          <w:tcPr>
            <w:tcW w:w="4328" w:type="dxa"/>
          </w:tcPr>
          <w:p w:rsidR="002E7FEE" w:rsidRDefault="001D67AE">
            <w:pPr>
              <w:pStyle w:val="TableParagraph"/>
              <w:spacing w:line="249" w:lineRule="exact"/>
              <w:ind w:left="200"/>
            </w:pPr>
            <w:r>
              <w:t>m) Spor Yönetimi Uygulaması Komisyonu:</w:t>
            </w:r>
          </w:p>
        </w:tc>
        <w:tc>
          <w:tcPr>
            <w:tcW w:w="5691" w:type="dxa"/>
          </w:tcPr>
          <w:p w:rsidR="002E7FEE" w:rsidRDefault="001D67AE" w:rsidP="006D138A">
            <w:pPr>
              <w:pStyle w:val="TableParagraph"/>
              <w:tabs>
                <w:tab w:val="left" w:pos="1444"/>
                <w:tab w:val="left" w:pos="2790"/>
                <w:tab w:val="left" w:pos="3637"/>
                <w:tab w:val="left" w:pos="4579"/>
                <w:tab w:val="left" w:pos="5072"/>
              </w:tabs>
              <w:spacing w:line="240" w:lineRule="auto"/>
              <w:ind w:left="158" w:right="198"/>
            </w:pPr>
            <w:r>
              <w:t>Kastamonu</w:t>
            </w:r>
            <w:r>
              <w:tab/>
              <w:t>Üniversitesi</w:t>
            </w:r>
            <w:r w:rsidR="006D138A">
              <w:t xml:space="preserve">, </w:t>
            </w:r>
            <w:r w:rsidR="006D138A">
              <w:t>Spor Bilimleri Fakültesi</w:t>
            </w:r>
            <w:r w:rsidR="006D138A">
              <w:t>,</w:t>
            </w:r>
            <w:r>
              <w:rPr>
                <w:spacing w:val="16"/>
              </w:rPr>
              <w:t xml:space="preserve"> </w:t>
            </w:r>
            <w:r>
              <w:t>Spor</w:t>
            </w:r>
            <w:r>
              <w:rPr>
                <w:spacing w:val="16"/>
              </w:rPr>
              <w:t xml:space="preserve"> </w:t>
            </w:r>
            <w:r>
              <w:t>Yöneticiliği</w:t>
            </w:r>
            <w:r>
              <w:rPr>
                <w:spacing w:val="16"/>
              </w:rPr>
              <w:t xml:space="preserve"> </w:t>
            </w:r>
            <w:r>
              <w:t>Bölümü</w:t>
            </w:r>
            <w:r>
              <w:rPr>
                <w:spacing w:val="16"/>
              </w:rPr>
              <w:t xml:space="preserve"> </w:t>
            </w:r>
            <w:r>
              <w:t>öğrencilerinin</w:t>
            </w:r>
            <w:r w:rsidR="006D138A">
              <w:t xml:space="preserve"> </w:t>
            </w:r>
            <w:r>
              <w:t>uygulama</w:t>
            </w:r>
            <w:r>
              <w:tab/>
              <w:t>Spor</w:t>
            </w:r>
            <w:r w:rsidR="006D138A">
              <w:t xml:space="preserve"> </w:t>
            </w:r>
            <w:r>
              <w:t>Yönetimi</w:t>
            </w:r>
            <w:r>
              <w:tab/>
              <w:t>Uygulamasını</w:t>
            </w:r>
            <w:r>
              <w:tab/>
              <w:t>takip</w:t>
            </w:r>
            <w:r>
              <w:tab/>
            </w:r>
            <w:r>
              <w:rPr>
                <w:spacing w:val="-4"/>
              </w:rPr>
              <w:t xml:space="preserve">eden </w:t>
            </w:r>
            <w:r>
              <w:t>komisyonu,</w:t>
            </w:r>
          </w:p>
        </w:tc>
      </w:tr>
      <w:tr w:rsidR="002E7FEE">
        <w:trPr>
          <w:trHeight w:val="753"/>
        </w:trPr>
        <w:tc>
          <w:tcPr>
            <w:tcW w:w="4328" w:type="dxa"/>
          </w:tcPr>
          <w:p w:rsidR="002E7FEE" w:rsidRDefault="001D67AE">
            <w:pPr>
              <w:pStyle w:val="TableParagraph"/>
              <w:tabs>
                <w:tab w:val="left" w:pos="3958"/>
              </w:tabs>
              <w:spacing w:line="249" w:lineRule="exact"/>
              <w:ind w:left="200"/>
            </w:pPr>
            <w:r>
              <w:t>n) Spor</w:t>
            </w:r>
            <w:r>
              <w:rPr>
                <w:spacing w:val="-5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Uygulaması</w:t>
            </w:r>
            <w:r>
              <w:tab/>
              <w:t>:</w:t>
            </w:r>
          </w:p>
        </w:tc>
        <w:tc>
          <w:tcPr>
            <w:tcW w:w="5691" w:type="dxa"/>
          </w:tcPr>
          <w:p w:rsidR="002E7FEE" w:rsidRDefault="001D67AE">
            <w:pPr>
              <w:pStyle w:val="TableParagraph"/>
              <w:spacing w:line="252" w:lineRule="exact"/>
              <w:ind w:right="200"/>
              <w:jc w:val="both"/>
            </w:pPr>
            <w:r>
              <w:t>Kastamonu Üniversitesi</w:t>
            </w:r>
            <w:r w:rsidR="006D138A">
              <w:t>,</w:t>
            </w:r>
            <w:r>
              <w:t xml:space="preserve"> </w:t>
            </w:r>
            <w:r w:rsidR="006D138A">
              <w:t>Spor Bilimleri Fakültesi</w:t>
            </w:r>
            <w:r w:rsidR="006D138A">
              <w:t>,</w:t>
            </w:r>
            <w:r>
              <w:t xml:space="preserve"> Spor Yöneticiliği Bölümü öğrencilerinin yöneticilik uygulamasını ifade</w:t>
            </w:r>
            <w:r>
              <w:rPr>
                <w:spacing w:val="-6"/>
              </w:rPr>
              <w:t xml:space="preserve"> </w:t>
            </w:r>
            <w:r>
              <w:t>eder.</w:t>
            </w:r>
          </w:p>
        </w:tc>
      </w:tr>
    </w:tbl>
    <w:p w:rsidR="002E7FEE" w:rsidRDefault="002E7FEE">
      <w:pPr>
        <w:pStyle w:val="GvdeMetni"/>
        <w:spacing w:before="4"/>
        <w:ind w:left="0" w:firstLine="0"/>
        <w:jc w:val="left"/>
      </w:pPr>
    </w:p>
    <w:p w:rsidR="002E7FEE" w:rsidRDefault="001D67AE">
      <w:pPr>
        <w:pStyle w:val="Balk1"/>
        <w:jc w:val="both"/>
      </w:pPr>
      <w:r>
        <w:t>Spor Yönetimi Uygulaması Süresi</w:t>
      </w:r>
    </w:p>
    <w:p w:rsidR="002E7FEE" w:rsidRDefault="001D67AE">
      <w:pPr>
        <w:pStyle w:val="GvdeMetni"/>
        <w:ind w:right="954"/>
      </w:pPr>
      <w:r>
        <w:rPr>
          <w:b/>
        </w:rPr>
        <w:t xml:space="preserve">Madde 5 – </w:t>
      </w:r>
      <w:r>
        <w:t>(1) Uygulama dersi en az bir yarıyıla eşdeğer olmak üzere yapılır. Bu dersin h</w:t>
      </w:r>
      <w:r>
        <w:t>angi yarıyıllarda ve kaç yarıyıl olarak verilmesi gerektiği Kastamonu Üniversitesi Senatosunca kabul edilmiş olan eğitim-öğretim programlarında belirtilir. Ancak uygulama dersini sadece bir yarıyıl olarak verildiği durumlarda bu dersin 8. yarıyılda verilme</w:t>
      </w:r>
      <w:r>
        <w:t>si zorunludur.</w:t>
      </w:r>
    </w:p>
    <w:p w:rsidR="002E7FEE" w:rsidRDefault="001D67AE">
      <w:pPr>
        <w:pStyle w:val="GvdeMetni"/>
        <w:ind w:right="961"/>
      </w:pPr>
      <w:r>
        <w:t>(2) Uygulama dersi, haftada en az bir gün olmak üzere bölümün haftalık ders programında yer alır.</w:t>
      </w:r>
    </w:p>
    <w:p w:rsidR="002E7FEE" w:rsidRDefault="002E7FEE">
      <w:pPr>
        <w:sectPr w:rsidR="002E7FEE">
          <w:footerReference w:type="default" r:id="rId7"/>
          <w:type w:val="continuous"/>
          <w:pgSz w:w="11910" w:h="16840"/>
          <w:pgMar w:top="440" w:right="460" w:bottom="960" w:left="1220" w:header="708" w:footer="777" w:gutter="0"/>
          <w:pgNumType w:start="1"/>
          <w:cols w:space="708"/>
        </w:sectPr>
      </w:pPr>
    </w:p>
    <w:p w:rsidR="002E7FEE" w:rsidRDefault="001D67AE">
      <w:pPr>
        <w:pStyle w:val="GvdeMetni"/>
        <w:spacing w:before="73"/>
        <w:ind w:right="957"/>
      </w:pPr>
      <w:r>
        <w:rPr>
          <w:b/>
        </w:rPr>
        <w:lastRenderedPageBreak/>
        <w:t xml:space="preserve">Madde 6 – </w:t>
      </w:r>
      <w:r>
        <w:t>(1) Uygulama; komisyonun öğrencinin uygulama başvurusunu kabul ettiği tarihten önce başlatılamaz.</w:t>
      </w:r>
    </w:p>
    <w:p w:rsidR="002E7FEE" w:rsidRDefault="001D67AE">
      <w:pPr>
        <w:pStyle w:val="GvdeMetni"/>
        <w:ind w:right="955"/>
      </w:pPr>
      <w:r>
        <w:rPr>
          <w:b/>
        </w:rPr>
        <w:t xml:space="preserve">Madde 7 – </w:t>
      </w:r>
      <w:r>
        <w:t>(1) Aynı birim içinde birden fazla başvuru olduğu takdirde uygulama yeri kontenjanları komisyon tarafından öğrencilere sırası ile mezuniyet ve akade</w:t>
      </w:r>
      <w:r>
        <w:t>mik başarı durumları gibi hususlar dikkate alınarak dağıtılır.</w:t>
      </w:r>
    </w:p>
    <w:p w:rsidR="002E7FEE" w:rsidRDefault="001D67AE">
      <w:pPr>
        <w:pStyle w:val="GvdeMetni"/>
        <w:spacing w:before="1"/>
        <w:ind w:right="961"/>
      </w:pPr>
      <w:r>
        <w:rPr>
          <w:b/>
        </w:rPr>
        <w:t xml:space="preserve">Madde 8 – </w:t>
      </w:r>
      <w:r>
        <w:t>(1) Her öğrenci, mezun olabilmek için bu yönerge hükümleri uyarınca yapılması gereken Spor Yönetimi Uygulamalarını başarı ile tamamlamak zorundadır.</w:t>
      </w:r>
    </w:p>
    <w:p w:rsidR="002E7FEE" w:rsidRDefault="001D67AE">
      <w:pPr>
        <w:pStyle w:val="GvdeMetni"/>
        <w:ind w:right="956"/>
      </w:pPr>
      <w:r>
        <w:rPr>
          <w:b/>
        </w:rPr>
        <w:t xml:space="preserve">Madde 9 – </w:t>
      </w:r>
      <w:r>
        <w:t>(1) Öğretim planında bir</w:t>
      </w:r>
      <w:r>
        <w:t xml:space="preserve"> derse ilişkin olarak ayrıca belirtilen uygulama çalışmaları ve yarıyıl içinde yapılan çalışmalar Spor Yönetimi Uygulamasına dahil değildir.</w:t>
      </w:r>
    </w:p>
    <w:p w:rsidR="002E7FEE" w:rsidRDefault="001D67AE">
      <w:pPr>
        <w:pStyle w:val="GvdeMetni"/>
        <w:ind w:right="953"/>
      </w:pPr>
      <w:r>
        <w:rPr>
          <w:b/>
        </w:rPr>
        <w:t xml:space="preserve">Madde 10– </w:t>
      </w:r>
      <w:r>
        <w:t>(1) Yaz okuluna devam eden öğrenciler, yaz okulu süresince Spor Yönetimi Uygulaması yapamazlar.</w:t>
      </w:r>
    </w:p>
    <w:p w:rsidR="002E7FEE" w:rsidRDefault="001D67AE">
      <w:pPr>
        <w:pStyle w:val="ListeParagraf"/>
        <w:numPr>
          <w:ilvl w:val="0"/>
          <w:numId w:val="1"/>
        </w:numPr>
        <w:tabs>
          <w:tab w:val="left" w:pos="1322"/>
        </w:tabs>
        <w:ind w:right="960" w:firstLine="767"/>
        <w:jc w:val="both"/>
        <w:rPr>
          <w:sz w:val="24"/>
        </w:rPr>
      </w:pPr>
      <w:r>
        <w:rPr>
          <w:sz w:val="24"/>
        </w:rPr>
        <w:t xml:space="preserve">Çift Ana </w:t>
      </w:r>
      <w:r>
        <w:rPr>
          <w:sz w:val="24"/>
        </w:rPr>
        <w:t>Dal programında olan öğrenciler, hem Ana Dal lisans hem de Çift Ana Dal programının Spor Yönetimi Uygulamasını</w:t>
      </w:r>
      <w:r>
        <w:rPr>
          <w:spacing w:val="4"/>
          <w:sz w:val="24"/>
        </w:rPr>
        <w:t xml:space="preserve"> </w:t>
      </w:r>
      <w:r>
        <w:rPr>
          <w:sz w:val="24"/>
        </w:rPr>
        <w:t>yapacaktır.</w:t>
      </w:r>
    </w:p>
    <w:p w:rsidR="002E7FEE" w:rsidRDefault="001D67AE">
      <w:pPr>
        <w:pStyle w:val="Balk1"/>
        <w:spacing w:before="2"/>
        <w:jc w:val="both"/>
      </w:pPr>
      <w:r>
        <w:t>Spor Yönetimi Uygulaması Yeri</w:t>
      </w:r>
    </w:p>
    <w:p w:rsidR="002E7FEE" w:rsidRDefault="001D67AE">
      <w:pPr>
        <w:pStyle w:val="GvdeMetni"/>
        <w:ind w:right="956"/>
      </w:pPr>
      <w:r>
        <w:rPr>
          <w:b/>
        </w:rPr>
        <w:t xml:space="preserve">Madde 11 – </w:t>
      </w:r>
      <w:r>
        <w:t>(1) Hangi öğrencinin nerede Spor Yönetimi Uygulaması yapacağına öğrenci talepleri dikkate al</w:t>
      </w:r>
      <w:r>
        <w:t>ınarak Bölüm Spor Yönetimi Uygulaması Komisyonu karar verir.</w:t>
      </w:r>
    </w:p>
    <w:p w:rsidR="002E7FEE" w:rsidRDefault="001D67AE">
      <w:pPr>
        <w:pStyle w:val="GvdeMetni"/>
        <w:ind w:right="959"/>
      </w:pPr>
      <w:r>
        <w:rPr>
          <w:b/>
        </w:rPr>
        <w:t xml:space="preserve">Madde 12 – </w:t>
      </w:r>
      <w:r>
        <w:t xml:space="preserve">(1) Uygulamalar sporla ilgili kamu ve özel kuruluşlarda yapılabilir. Uygulama öncelikle Gençlik ve Spor Genel Müdürlüğü Merkez ve Taşra teşkilatlarında yapılır. Ancak uygulama öğrenci </w:t>
      </w:r>
      <w:r>
        <w:t>tarafından bulunan ve kabul yazısı veren kuruluşlarda da komisyon tarafından uygun görüldüğü takdirde yapılabilir.</w:t>
      </w:r>
    </w:p>
    <w:p w:rsidR="002E7FEE" w:rsidRDefault="001D67AE">
      <w:pPr>
        <w:spacing w:before="8" w:line="235" w:lineRule="auto"/>
        <w:ind w:left="904" w:right="5656"/>
        <w:jc w:val="both"/>
        <w:rPr>
          <w:sz w:val="24"/>
        </w:rPr>
      </w:pPr>
      <w:r>
        <w:rPr>
          <w:b/>
          <w:sz w:val="24"/>
        </w:rPr>
        <w:t xml:space="preserve">Spor Yönetimi Uygulaması Dosyası Madde 13 – </w:t>
      </w:r>
      <w:r>
        <w:rPr>
          <w:sz w:val="24"/>
        </w:rPr>
        <w:t>(1) Uygulama Belgeleri;</w:t>
      </w:r>
    </w:p>
    <w:p w:rsidR="002E7FEE" w:rsidRDefault="001D67AE">
      <w:pPr>
        <w:pStyle w:val="ListeParagraf"/>
        <w:numPr>
          <w:ilvl w:val="1"/>
          <w:numId w:val="1"/>
        </w:numPr>
        <w:tabs>
          <w:tab w:val="left" w:pos="1625"/>
        </w:tabs>
        <w:spacing w:before="2"/>
        <w:ind w:hanging="361"/>
        <w:rPr>
          <w:sz w:val="24"/>
        </w:rPr>
      </w:pPr>
      <w:r>
        <w:rPr>
          <w:sz w:val="24"/>
        </w:rPr>
        <w:t>İş yerine yazılan resmi</w:t>
      </w:r>
      <w:r>
        <w:rPr>
          <w:spacing w:val="9"/>
          <w:sz w:val="24"/>
        </w:rPr>
        <w:t xml:space="preserve"> </w:t>
      </w:r>
      <w:r>
        <w:rPr>
          <w:sz w:val="24"/>
        </w:rPr>
        <w:t>yazı</w:t>
      </w:r>
    </w:p>
    <w:p w:rsidR="002E7FEE" w:rsidRDefault="001D67AE">
      <w:pPr>
        <w:pStyle w:val="ListeParagraf"/>
        <w:numPr>
          <w:ilvl w:val="1"/>
          <w:numId w:val="1"/>
        </w:numPr>
        <w:tabs>
          <w:tab w:val="left" w:pos="1625"/>
        </w:tabs>
        <w:ind w:right="957"/>
        <w:rPr>
          <w:sz w:val="24"/>
        </w:rPr>
      </w:pPr>
      <w:r>
        <w:rPr>
          <w:sz w:val="24"/>
        </w:rPr>
        <w:t>Spor Yönetimi Uygulaması Başarı Belgesi Formu (Belge bölüm, öğrenci işleri ve Spor Yönetimi Uygulaması yapılan kuruluşta saklanmak üzere üç (3) adet hazırlanır)</w:t>
      </w:r>
    </w:p>
    <w:p w:rsidR="002E7FEE" w:rsidRDefault="001D67AE">
      <w:pPr>
        <w:pStyle w:val="ListeParagraf"/>
        <w:numPr>
          <w:ilvl w:val="1"/>
          <w:numId w:val="1"/>
        </w:numPr>
        <w:tabs>
          <w:tab w:val="left" w:pos="1625"/>
        </w:tabs>
        <w:ind w:hanging="361"/>
        <w:rPr>
          <w:sz w:val="24"/>
        </w:rPr>
      </w:pPr>
      <w:r>
        <w:rPr>
          <w:sz w:val="24"/>
        </w:rPr>
        <w:t>Spor Yönetimi Uygulaması Raporu Kimlik Formu</w:t>
      </w:r>
    </w:p>
    <w:p w:rsidR="002E7FEE" w:rsidRDefault="001D67AE">
      <w:pPr>
        <w:pStyle w:val="ListeParagraf"/>
        <w:numPr>
          <w:ilvl w:val="1"/>
          <w:numId w:val="1"/>
        </w:numPr>
        <w:tabs>
          <w:tab w:val="left" w:pos="1625"/>
        </w:tabs>
        <w:ind w:hanging="361"/>
        <w:rPr>
          <w:sz w:val="24"/>
        </w:rPr>
      </w:pPr>
      <w:r>
        <w:rPr>
          <w:sz w:val="24"/>
        </w:rPr>
        <w:t>Spor Yönetimi Uygulaması Raporu Formatı</w:t>
      </w:r>
    </w:p>
    <w:p w:rsidR="002E7FEE" w:rsidRDefault="006D138A">
      <w:pPr>
        <w:pStyle w:val="ListeParagraf"/>
        <w:numPr>
          <w:ilvl w:val="1"/>
          <w:numId w:val="1"/>
        </w:numPr>
        <w:tabs>
          <w:tab w:val="left" w:pos="1625"/>
        </w:tabs>
        <w:ind w:hanging="361"/>
        <w:rPr>
          <w:sz w:val="24"/>
        </w:rPr>
      </w:pPr>
      <w:r>
        <w:rPr>
          <w:sz w:val="24"/>
        </w:rPr>
        <w:t>Fakülte</w:t>
      </w:r>
      <w:r w:rsidR="001D67AE">
        <w:rPr>
          <w:sz w:val="24"/>
        </w:rPr>
        <w:t xml:space="preserve"> Spor Yönetimi Uygulaması</w:t>
      </w:r>
      <w:r w:rsidR="001D67AE">
        <w:rPr>
          <w:spacing w:val="1"/>
          <w:sz w:val="24"/>
        </w:rPr>
        <w:t xml:space="preserve"> </w:t>
      </w:r>
      <w:r w:rsidR="001D67AE">
        <w:rPr>
          <w:sz w:val="24"/>
        </w:rPr>
        <w:t>Yönergesi</w:t>
      </w:r>
    </w:p>
    <w:p w:rsidR="002E7FEE" w:rsidRDefault="001D67AE">
      <w:pPr>
        <w:pStyle w:val="ListeParagraf"/>
        <w:numPr>
          <w:ilvl w:val="1"/>
          <w:numId w:val="1"/>
        </w:numPr>
        <w:tabs>
          <w:tab w:val="left" w:pos="1625"/>
        </w:tabs>
        <w:ind w:hanging="361"/>
        <w:rPr>
          <w:sz w:val="24"/>
        </w:rPr>
      </w:pPr>
      <w:r>
        <w:rPr>
          <w:sz w:val="24"/>
        </w:rPr>
        <w:t>Spor Yönetimi 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Kuralları</w:t>
      </w:r>
    </w:p>
    <w:p w:rsidR="002E7FEE" w:rsidRDefault="001D67AE">
      <w:pPr>
        <w:pStyle w:val="Balk1"/>
        <w:spacing w:before="5"/>
        <w:jc w:val="both"/>
      </w:pPr>
      <w:r>
        <w:t>Rehber Öğretim Elemanlarının ve Öğrenci Gruplarının Tespiti</w:t>
      </w:r>
    </w:p>
    <w:p w:rsidR="002E7FEE" w:rsidRDefault="001D67AE">
      <w:pPr>
        <w:pStyle w:val="GvdeMetni"/>
        <w:ind w:right="963"/>
      </w:pPr>
      <w:r>
        <w:rPr>
          <w:b/>
        </w:rPr>
        <w:t xml:space="preserve">Madde 14 – </w:t>
      </w:r>
      <w:r>
        <w:t>(1) Bölüm Başkanlığı uygulamayı yönetecek rehber öğretim elemanlarını ve her öğretim elemanına düşecek öğrenci say</w:t>
      </w:r>
      <w:r>
        <w:t>ısını belirler.</w:t>
      </w:r>
    </w:p>
    <w:p w:rsidR="002E7FEE" w:rsidRDefault="001D67AE">
      <w:pPr>
        <w:pStyle w:val="Balk1"/>
        <w:spacing w:before="3"/>
        <w:jc w:val="both"/>
      </w:pPr>
      <w:r>
        <w:t>Uygulamanın Değerlendirilmesi</w:t>
      </w:r>
    </w:p>
    <w:p w:rsidR="002E7FEE" w:rsidRDefault="001D67AE">
      <w:pPr>
        <w:pStyle w:val="GvdeMetni"/>
        <w:ind w:right="959"/>
      </w:pPr>
      <w:r>
        <w:rPr>
          <w:b/>
        </w:rPr>
        <w:t xml:space="preserve">Madde 15 – </w:t>
      </w:r>
      <w:r>
        <w:t>(1) Uygulamada devam zorunludur. Mezun olabilmek için öğrencilerin uygulamalarını belirtilen sürede başarı ile tamamlaması gerekir.</w:t>
      </w:r>
    </w:p>
    <w:p w:rsidR="002E7FEE" w:rsidRDefault="001D67AE">
      <w:pPr>
        <w:pStyle w:val="GvdeMetni"/>
        <w:ind w:right="960"/>
      </w:pPr>
      <w:r>
        <w:rPr>
          <w:b/>
        </w:rPr>
        <w:t xml:space="preserve">Madde 16 – </w:t>
      </w:r>
      <w:r>
        <w:t>(1) Uygulamaya gönderilen öğrenci bu uygulamasını başarı</w:t>
      </w:r>
      <w:r>
        <w:t xml:space="preserve"> ile tamamlayamaz </w:t>
      </w:r>
      <w:r>
        <w:rPr>
          <w:spacing w:val="-3"/>
        </w:rPr>
        <w:t xml:space="preserve">ya </w:t>
      </w:r>
      <w:r>
        <w:t>da komisyonca yetersiz görülürse takip eden ilk uygulama döneminde tekrar eder.</w:t>
      </w:r>
    </w:p>
    <w:p w:rsidR="002E7FEE" w:rsidRDefault="001D67AE">
      <w:pPr>
        <w:pStyle w:val="GvdeMetni"/>
        <w:ind w:right="964"/>
      </w:pPr>
      <w:r>
        <w:rPr>
          <w:b/>
        </w:rPr>
        <w:t xml:space="preserve">Madde 17 – </w:t>
      </w:r>
      <w:r>
        <w:t>(1) Uygulamaya giden her öğrenci uygulamasını; bu yönergede belirtilen uygulama kuralları ve iş yerindeki uygulama yöneticisinin direktifleri çe</w:t>
      </w:r>
      <w:r>
        <w:t>rçevesinde yapmak zorundadır.</w:t>
      </w:r>
    </w:p>
    <w:p w:rsidR="002E7FEE" w:rsidRDefault="001D67AE">
      <w:pPr>
        <w:pStyle w:val="Balk1"/>
        <w:spacing w:before="3"/>
        <w:jc w:val="both"/>
      </w:pPr>
      <w:r>
        <w:t>Öğrencinin Görev ve Sorumlulukları</w:t>
      </w:r>
    </w:p>
    <w:p w:rsidR="002E7FEE" w:rsidRDefault="001D67AE">
      <w:pPr>
        <w:pStyle w:val="GvdeMetni"/>
        <w:ind w:right="960"/>
      </w:pPr>
      <w:r>
        <w:rPr>
          <w:b/>
        </w:rPr>
        <w:t xml:space="preserve">Madde 18 – </w:t>
      </w:r>
      <w:r>
        <w:t xml:space="preserve">(1) Uygulamaya katılan öğrenciler uygulama süresince iş yeri çalışma disiplinine ilişkin mevzuata ve </w:t>
      </w:r>
      <w:r w:rsidR="006D138A">
        <w:t>Fakülte</w:t>
      </w:r>
      <w:r>
        <w:t xml:space="preserve"> Disiplin Yönetmeliği hükümlerine uymakla yükümlüdür.</w:t>
      </w:r>
    </w:p>
    <w:p w:rsidR="002E7FEE" w:rsidRDefault="001D67AE">
      <w:pPr>
        <w:pStyle w:val="GvdeMetni"/>
        <w:ind w:right="958"/>
      </w:pPr>
      <w:r>
        <w:rPr>
          <w:b/>
        </w:rPr>
        <w:t xml:space="preserve">Madde 19 </w:t>
      </w:r>
      <w:r>
        <w:t>– (1) Uygulama yerinde öğrenciler araç-gereç ve malzemeleri özenle korumalı ve kullanmalıdır. Aksi halde iş yerine verdikleri zarardan şahsen sorumludurlar.</w:t>
      </w:r>
    </w:p>
    <w:p w:rsidR="002E7FEE" w:rsidRDefault="002E7FEE">
      <w:pPr>
        <w:pStyle w:val="GvdeMetni"/>
        <w:spacing w:before="2"/>
        <w:ind w:left="0" w:firstLine="0"/>
        <w:jc w:val="left"/>
      </w:pPr>
    </w:p>
    <w:p w:rsidR="002E7FEE" w:rsidRDefault="001D67AE">
      <w:pPr>
        <w:pStyle w:val="Balk1"/>
        <w:jc w:val="both"/>
      </w:pPr>
      <w:r>
        <w:t>İş Yerinin Görev ve Sorumlulukları</w:t>
      </w:r>
    </w:p>
    <w:p w:rsidR="002E7FEE" w:rsidRDefault="001D67AE">
      <w:pPr>
        <w:pStyle w:val="GvdeMetni"/>
        <w:ind w:right="961"/>
      </w:pPr>
      <w:r>
        <w:rPr>
          <w:b/>
        </w:rPr>
        <w:t xml:space="preserve">Madde 20 </w:t>
      </w:r>
      <w:r>
        <w:t>– (1) Öğrencilerin iş yerlerinde programlarıyla ilgili</w:t>
      </w:r>
      <w:r>
        <w:t xml:space="preserve"> dalda çalışmalarına önem vermeli ve mümkün olduğunca değişik birimlerde çalıştırılarak bilgi, beceri ve deneyim kazanmaları sağlanmalıdır.</w:t>
      </w:r>
    </w:p>
    <w:p w:rsidR="002E7FEE" w:rsidRDefault="002E7FEE">
      <w:pPr>
        <w:sectPr w:rsidR="002E7FEE">
          <w:pgSz w:w="11910" w:h="16840"/>
          <w:pgMar w:top="440" w:right="460" w:bottom="960" w:left="1220" w:header="0" w:footer="777" w:gutter="0"/>
          <w:cols w:space="708"/>
        </w:sectPr>
      </w:pPr>
    </w:p>
    <w:p w:rsidR="002E7FEE" w:rsidRDefault="001D67AE">
      <w:pPr>
        <w:pStyle w:val="GvdeMetni"/>
        <w:spacing w:before="73"/>
        <w:ind w:left="904" w:firstLine="0"/>
        <w:jc w:val="left"/>
      </w:pPr>
      <w:r>
        <w:rPr>
          <w:b/>
        </w:rPr>
        <w:lastRenderedPageBreak/>
        <w:t xml:space="preserve">Madde 21 </w:t>
      </w:r>
      <w:r>
        <w:t>– (1) Öğrenciler uygulamanın amacı dışında görevlendirilemezler.</w:t>
      </w:r>
    </w:p>
    <w:p w:rsidR="002E7FEE" w:rsidRDefault="001D67AE">
      <w:pPr>
        <w:pStyle w:val="GvdeMetni"/>
        <w:jc w:val="left"/>
      </w:pPr>
      <w:r>
        <w:rPr>
          <w:b/>
        </w:rPr>
        <w:t xml:space="preserve">Madde 22 </w:t>
      </w:r>
      <w:r>
        <w:t xml:space="preserve">– (1) Uygulamasını bitiren öğrencinin “gizli” uygulama başarı belgesi </w:t>
      </w:r>
      <w:r w:rsidR="006D138A">
        <w:t>dekanlığa</w:t>
      </w:r>
      <w:r>
        <w:t xml:space="preserve"> iş yerince gönderilir.</w:t>
      </w:r>
    </w:p>
    <w:p w:rsidR="002E7FEE" w:rsidRDefault="001D67AE">
      <w:pPr>
        <w:pStyle w:val="Balk1"/>
        <w:spacing w:before="6"/>
      </w:pPr>
      <w:r>
        <w:t>Uygulama Sonrası Yapılacak İşlemler</w:t>
      </w:r>
    </w:p>
    <w:p w:rsidR="002E7FEE" w:rsidRDefault="001D67AE">
      <w:pPr>
        <w:pStyle w:val="GvdeMetni"/>
        <w:ind w:right="959"/>
        <w:jc w:val="left"/>
      </w:pPr>
      <w:r>
        <w:rPr>
          <w:b/>
        </w:rPr>
        <w:t xml:space="preserve">Madde 23 </w:t>
      </w:r>
      <w:r>
        <w:t>– (1) Uygulamanın bitiminden itibaren 20 (yirmi) gün içinde öğrenci uygulama ile ilgili belgeleri kom</w:t>
      </w:r>
      <w:r>
        <w:t>isyon başkanlığına elden teslim eder.</w:t>
      </w:r>
    </w:p>
    <w:p w:rsidR="002E7FEE" w:rsidRDefault="001D67AE">
      <w:pPr>
        <w:pStyle w:val="GvdeMetni"/>
        <w:ind w:right="959"/>
        <w:jc w:val="left"/>
      </w:pPr>
      <w:r>
        <w:rPr>
          <w:b/>
        </w:rPr>
        <w:t xml:space="preserve">Madde 24 </w:t>
      </w:r>
      <w:r>
        <w:t>– (1) Uygulama sonrası ilgili belgeler komisyonca değerlendirilerek öğrencinin başarılı olup olmadığına karar verilir.</w:t>
      </w:r>
    </w:p>
    <w:p w:rsidR="002E7FEE" w:rsidRDefault="001D67AE">
      <w:pPr>
        <w:pStyle w:val="GvdeMetni"/>
        <w:spacing w:line="237" w:lineRule="auto"/>
        <w:ind w:right="959"/>
        <w:jc w:val="left"/>
      </w:pPr>
      <w:r>
        <w:rPr>
          <w:b/>
        </w:rPr>
        <w:t xml:space="preserve">Madde 25 </w:t>
      </w:r>
      <w:r>
        <w:t>– (1) Bu belgelerin değerlendirilmesi sırasında öğrenci gerekirse uygulama mülaka</w:t>
      </w:r>
      <w:r>
        <w:t>tına çağrılabilir.</w:t>
      </w:r>
    </w:p>
    <w:p w:rsidR="002E7FEE" w:rsidRDefault="001D67AE">
      <w:pPr>
        <w:pStyle w:val="GvdeMetni"/>
        <w:ind w:right="959"/>
        <w:jc w:val="left"/>
      </w:pPr>
      <w:r>
        <w:rPr>
          <w:b/>
        </w:rPr>
        <w:t xml:space="preserve">Madde 26 </w:t>
      </w:r>
      <w:r>
        <w:t>– (1) Uygulama belgelerinin tesliminden itibaren sonuçlar en geç bir ay içerisinde ilan edilir.</w:t>
      </w:r>
    </w:p>
    <w:p w:rsidR="002E7FEE" w:rsidRDefault="001D67AE">
      <w:pPr>
        <w:pStyle w:val="Balk1"/>
        <w:spacing w:before="5"/>
      </w:pPr>
      <w:r>
        <w:t>Diğer Hükümler</w:t>
      </w:r>
    </w:p>
    <w:p w:rsidR="002E7FEE" w:rsidRDefault="001D67AE">
      <w:pPr>
        <w:pStyle w:val="GvdeMetni"/>
        <w:spacing w:line="274" w:lineRule="exact"/>
        <w:ind w:left="904" w:firstLine="0"/>
        <w:jc w:val="left"/>
      </w:pPr>
      <w:r>
        <w:rPr>
          <w:b/>
        </w:rPr>
        <w:t xml:space="preserve">Madde 27 </w:t>
      </w:r>
      <w:r>
        <w:t xml:space="preserve">– (1) Bu yönergede belirtilmeyen hususlarda </w:t>
      </w:r>
      <w:r w:rsidR="006D138A">
        <w:t>Fakülte</w:t>
      </w:r>
      <w:r>
        <w:t xml:space="preserve"> Kurulu karar</w:t>
      </w:r>
    </w:p>
    <w:p w:rsidR="002E7FEE" w:rsidRDefault="002E7FEE">
      <w:pPr>
        <w:spacing w:line="274" w:lineRule="exact"/>
        <w:sectPr w:rsidR="002E7FEE">
          <w:pgSz w:w="11910" w:h="16840"/>
          <w:pgMar w:top="440" w:right="460" w:bottom="960" w:left="1220" w:header="0" w:footer="777" w:gutter="0"/>
          <w:cols w:space="708"/>
        </w:sectPr>
      </w:pPr>
    </w:p>
    <w:p w:rsidR="002E7FEE" w:rsidRDefault="001D67AE">
      <w:pPr>
        <w:pStyle w:val="GvdeMetni"/>
        <w:ind w:firstLine="0"/>
        <w:jc w:val="left"/>
      </w:pPr>
      <w:r>
        <w:rPr>
          <w:spacing w:val="-1"/>
        </w:rPr>
        <w:t>verir.</w:t>
      </w:r>
    </w:p>
    <w:p w:rsidR="002E7FEE" w:rsidRDefault="001D67AE">
      <w:pPr>
        <w:pStyle w:val="GvdeMetni"/>
        <w:spacing w:before="5"/>
        <w:ind w:left="0" w:firstLine="0"/>
        <w:jc w:val="left"/>
      </w:pPr>
      <w:r>
        <w:br w:type="column"/>
      </w:r>
    </w:p>
    <w:p w:rsidR="002E7FEE" w:rsidRDefault="001D67AE">
      <w:pPr>
        <w:pStyle w:val="Balk1"/>
        <w:spacing w:before="1"/>
        <w:ind w:left="156"/>
      </w:pPr>
      <w:r>
        <w:t>Yürürlülük</w:t>
      </w:r>
    </w:p>
    <w:p w:rsidR="002E7FEE" w:rsidRDefault="001D67AE">
      <w:pPr>
        <w:pStyle w:val="GvdeMetni"/>
        <w:spacing w:line="274" w:lineRule="exact"/>
        <w:ind w:left="156" w:firstLine="0"/>
        <w:jc w:val="left"/>
      </w:pPr>
      <w:r>
        <w:rPr>
          <w:b/>
        </w:rPr>
        <w:t>Ma</w:t>
      </w:r>
      <w:r>
        <w:rPr>
          <w:b/>
        </w:rPr>
        <w:t xml:space="preserve">dde 28 </w:t>
      </w:r>
      <w:r>
        <w:t>– (1) Bu yönerge Kastamonu Üniversitesi Senatosunca onaylandığı tarihten</w:t>
      </w:r>
    </w:p>
    <w:p w:rsidR="002E7FEE" w:rsidRDefault="002E7FEE">
      <w:pPr>
        <w:spacing w:line="274" w:lineRule="exact"/>
        <w:sectPr w:rsidR="002E7FEE">
          <w:type w:val="continuous"/>
          <w:pgSz w:w="11910" w:h="16840"/>
          <w:pgMar w:top="440" w:right="460" w:bottom="960" w:left="1220" w:header="708" w:footer="708" w:gutter="0"/>
          <w:cols w:num="2" w:space="708" w:equalWidth="0">
            <w:col w:w="708" w:space="40"/>
            <w:col w:w="9482"/>
          </w:cols>
        </w:sectPr>
      </w:pPr>
    </w:p>
    <w:p w:rsidR="002E7FEE" w:rsidRDefault="001D67AE">
      <w:pPr>
        <w:pStyle w:val="GvdeMetni"/>
        <w:ind w:firstLine="0"/>
        <w:jc w:val="left"/>
      </w:pPr>
      <w:r>
        <w:t>itibaren yürürlüğe girer.</w:t>
      </w:r>
    </w:p>
    <w:p w:rsidR="002E7FEE" w:rsidRDefault="001D67AE">
      <w:pPr>
        <w:pStyle w:val="Balk1"/>
        <w:spacing w:before="5"/>
      </w:pPr>
      <w:r>
        <w:t>Yürütme</w:t>
      </w:r>
    </w:p>
    <w:p w:rsidR="002E7FEE" w:rsidRDefault="001D67AE">
      <w:pPr>
        <w:pStyle w:val="GvdeMetni"/>
        <w:ind w:right="959"/>
        <w:jc w:val="left"/>
      </w:pPr>
      <w:r>
        <w:rPr>
          <w:b/>
        </w:rPr>
        <w:t xml:space="preserve">Madde 29 </w:t>
      </w:r>
      <w:r>
        <w:t xml:space="preserve">– (1) Bu yönergeyi Kastamonu Üniversitesi </w:t>
      </w:r>
      <w:r w:rsidR="006D138A">
        <w:t>Spor Bilimleri Fakültesi</w:t>
      </w:r>
      <w:r w:rsidR="006D138A">
        <w:t xml:space="preserve"> Dekanlığı</w:t>
      </w:r>
      <w:r>
        <w:t xml:space="preserve"> yürütür.</w:t>
      </w:r>
    </w:p>
    <w:sectPr w:rsidR="002E7FEE">
      <w:type w:val="continuous"/>
      <w:pgSz w:w="11910" w:h="16840"/>
      <w:pgMar w:top="440" w:right="460" w:bottom="9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AE" w:rsidRDefault="001D67AE">
      <w:r>
        <w:separator/>
      </w:r>
    </w:p>
  </w:endnote>
  <w:endnote w:type="continuationSeparator" w:id="0">
    <w:p w:rsidR="001D67AE" w:rsidRDefault="001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EE" w:rsidRDefault="006D138A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EE" w:rsidRDefault="001D67AE">
                          <w:pPr>
                            <w:pStyle w:val="GvdeMetni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3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zw1YuEAAAAPAQAA&#10;DwAAAGRycy9kb3ducmV2LnhtbExPQU7DMBC8I/EHa5G4UTvQhBLiVBWCExJqGg4cndhNrMbrELtt&#10;+D3bE9xmdkazM8V6dgM7mSlYjxKShQBmsPXaYifhs367WwELUaFWg0cj4ccEWJfXV4XKtT9jZU67&#10;2DEKwZArCX2MY855aHvjVFj40SBpez85FYlOHdeTOlO4G/i9EBl3yiJ96NVoXnrTHnZHJ2HzhdWr&#10;/f5ottW+snX9JPA9O0h5ezNvnoFFM8c/M1zqU3UoqVPjj6gDG4iLh4TGRELpapkAu3hEmtKtIZQl&#10;y0fgZcH/7yh/A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AM8NWLhAAAADwEAAA8A&#10;AAAAAAAAAAAAAAAABQUAAGRycy9kb3ducmV2LnhtbFBLBQYAAAAABAAEAPMAAAATBgAAAAA=&#10;" filled="f" stroked="f">
              <v:textbox inset="0,0,0,0">
                <w:txbxContent>
                  <w:p w:rsidR="002E7FEE" w:rsidRDefault="001D67AE">
                    <w:pPr>
                      <w:pStyle w:val="GvdeMetni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13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AE" w:rsidRDefault="001D67AE">
      <w:r>
        <w:separator/>
      </w:r>
    </w:p>
  </w:footnote>
  <w:footnote w:type="continuationSeparator" w:id="0">
    <w:p w:rsidR="001D67AE" w:rsidRDefault="001D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3F79"/>
    <w:multiLevelType w:val="hybridMultilevel"/>
    <w:tmpl w:val="8AE88002"/>
    <w:lvl w:ilvl="0" w:tplc="6AD273FE">
      <w:start w:val="2"/>
      <w:numFmt w:val="decimal"/>
      <w:lvlText w:val="(%1)"/>
      <w:lvlJc w:val="left"/>
      <w:pPr>
        <w:ind w:left="196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33AB8E0">
      <w:numFmt w:val="bullet"/>
      <w:lvlText w:val=""/>
      <w:lvlJc w:val="left"/>
      <w:pPr>
        <w:ind w:left="162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07D00392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  <w:lvl w:ilvl="3" w:tplc="325EA812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454E2776">
      <w:numFmt w:val="bullet"/>
      <w:lvlText w:val="•"/>
      <w:lvlJc w:val="left"/>
      <w:pPr>
        <w:ind w:left="4488" w:hanging="360"/>
      </w:pPr>
      <w:rPr>
        <w:rFonts w:hint="default"/>
        <w:lang w:val="tr-TR" w:eastAsia="en-US" w:bidi="ar-SA"/>
      </w:rPr>
    </w:lvl>
    <w:lvl w:ilvl="5" w:tplc="43769322">
      <w:numFmt w:val="bullet"/>
      <w:lvlText w:val="•"/>
      <w:lvlJc w:val="left"/>
      <w:pPr>
        <w:ind w:left="5445" w:hanging="360"/>
      </w:pPr>
      <w:rPr>
        <w:rFonts w:hint="default"/>
        <w:lang w:val="tr-TR" w:eastAsia="en-US" w:bidi="ar-SA"/>
      </w:rPr>
    </w:lvl>
    <w:lvl w:ilvl="6" w:tplc="0B229102">
      <w:numFmt w:val="bullet"/>
      <w:lvlText w:val="•"/>
      <w:lvlJc w:val="left"/>
      <w:pPr>
        <w:ind w:left="6401" w:hanging="360"/>
      </w:pPr>
      <w:rPr>
        <w:rFonts w:hint="default"/>
        <w:lang w:val="tr-TR" w:eastAsia="en-US" w:bidi="ar-SA"/>
      </w:rPr>
    </w:lvl>
    <w:lvl w:ilvl="7" w:tplc="9794AFD2">
      <w:numFmt w:val="bullet"/>
      <w:lvlText w:val="•"/>
      <w:lvlJc w:val="left"/>
      <w:pPr>
        <w:ind w:left="7357" w:hanging="360"/>
      </w:pPr>
      <w:rPr>
        <w:rFonts w:hint="default"/>
        <w:lang w:val="tr-TR" w:eastAsia="en-US" w:bidi="ar-SA"/>
      </w:rPr>
    </w:lvl>
    <w:lvl w:ilvl="8" w:tplc="82E899EE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C9A408D"/>
    <w:multiLevelType w:val="hybridMultilevel"/>
    <w:tmpl w:val="3286AB9A"/>
    <w:lvl w:ilvl="0" w:tplc="B72A6966">
      <w:start w:val="1"/>
      <w:numFmt w:val="lowerLetter"/>
      <w:lvlText w:val="%1)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EBB42126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2" w:tplc="037C2868">
      <w:numFmt w:val="bullet"/>
      <w:lvlText w:val="•"/>
      <w:lvlJc w:val="left"/>
      <w:pPr>
        <w:ind w:left="3053" w:hanging="360"/>
      </w:pPr>
      <w:rPr>
        <w:rFonts w:hint="default"/>
        <w:lang w:val="tr-TR" w:eastAsia="en-US" w:bidi="ar-SA"/>
      </w:rPr>
    </w:lvl>
    <w:lvl w:ilvl="3" w:tplc="9F923314">
      <w:numFmt w:val="bullet"/>
      <w:lvlText w:val="•"/>
      <w:lvlJc w:val="left"/>
      <w:pPr>
        <w:ind w:left="3949" w:hanging="360"/>
      </w:pPr>
      <w:rPr>
        <w:rFonts w:hint="default"/>
        <w:lang w:val="tr-TR" w:eastAsia="en-US" w:bidi="ar-SA"/>
      </w:rPr>
    </w:lvl>
    <w:lvl w:ilvl="4" w:tplc="E370E91A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2F1CAFD4">
      <w:numFmt w:val="bullet"/>
      <w:lvlText w:val="•"/>
      <w:lvlJc w:val="left"/>
      <w:pPr>
        <w:ind w:left="5743" w:hanging="360"/>
      </w:pPr>
      <w:rPr>
        <w:rFonts w:hint="default"/>
        <w:lang w:val="tr-TR" w:eastAsia="en-US" w:bidi="ar-SA"/>
      </w:rPr>
    </w:lvl>
    <w:lvl w:ilvl="6" w:tplc="D2C8EF7C"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  <w:lvl w:ilvl="7" w:tplc="EE3E855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3DC4CAE">
      <w:numFmt w:val="bullet"/>
      <w:lvlText w:val="•"/>
      <w:lvlJc w:val="left"/>
      <w:pPr>
        <w:ind w:left="843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EE"/>
    <w:rsid w:val="001D67AE"/>
    <w:rsid w:val="002E7FEE"/>
    <w:rsid w:val="006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2AF9"/>
  <w15:docId w15:val="{C7DD7430-B32D-4CE5-9540-7F00537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90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6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2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yunus</dc:creator>
  <cp:lastModifiedBy>burhan ünğan</cp:lastModifiedBy>
  <cp:revision>2</cp:revision>
  <dcterms:created xsi:type="dcterms:W3CDTF">2021-12-24T08:13:00Z</dcterms:created>
  <dcterms:modified xsi:type="dcterms:W3CDTF">2021-12-24T08:13:00Z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